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7516" w14:textId="4E0C7A3C" w:rsidR="00336E0C" w:rsidRDefault="009C0A98" w:rsidP="00336E0C">
      <w:pPr>
        <w:ind w:left="-720" w:right="-720"/>
        <w:rPr>
          <w:rFonts w:ascii="Arial" w:hAnsi="Arial" w:cs="Arial"/>
          <w:szCs w:val="22"/>
        </w:rPr>
      </w:pPr>
      <w:r w:rsidRPr="00960871">
        <w:rPr>
          <w:rFonts w:ascii="Arial" w:hAnsi="Arial" w:cs="Arial"/>
          <w:szCs w:val="22"/>
        </w:rPr>
        <w:t>A-750-</w:t>
      </w:r>
      <w:r w:rsidR="000C7550">
        <w:rPr>
          <w:rFonts w:ascii="Arial" w:hAnsi="Arial" w:cs="Arial"/>
          <w:szCs w:val="22"/>
        </w:rPr>
        <w:t>217</w:t>
      </w:r>
      <w:r w:rsidR="00B941D1">
        <w:rPr>
          <w:rFonts w:ascii="Arial" w:hAnsi="Arial" w:cs="Arial"/>
          <w:szCs w:val="22"/>
        </w:rPr>
        <w:t>1</w:t>
      </w:r>
      <w:r w:rsidR="00CC1D92" w:rsidRPr="00960871">
        <w:rPr>
          <w:rFonts w:ascii="Arial" w:hAnsi="Arial" w:cs="Arial"/>
          <w:szCs w:val="22"/>
        </w:rPr>
        <w:tab/>
      </w:r>
      <w:r w:rsidR="005565D2" w:rsidRPr="00960871">
        <w:rPr>
          <w:rFonts w:ascii="Arial" w:hAnsi="Arial" w:cs="Arial"/>
          <w:szCs w:val="22"/>
        </w:rPr>
        <w:tab/>
      </w:r>
      <w:r w:rsidRPr="00960871">
        <w:rPr>
          <w:rFonts w:ascii="Arial" w:hAnsi="Arial" w:cs="Arial"/>
          <w:szCs w:val="22"/>
        </w:rPr>
        <w:t xml:space="preserve">                                       </w:t>
      </w:r>
      <w:r w:rsidRPr="00960871">
        <w:rPr>
          <w:rFonts w:ascii="Arial" w:hAnsi="Arial" w:cs="Arial"/>
          <w:b/>
          <w:szCs w:val="22"/>
        </w:rPr>
        <w:t xml:space="preserve">    </w:t>
      </w:r>
      <w:r w:rsidRPr="00960871">
        <w:rPr>
          <w:rFonts w:ascii="Arial" w:hAnsi="Arial" w:cs="Arial"/>
          <w:szCs w:val="22"/>
        </w:rPr>
        <w:t xml:space="preserve">                                                </w:t>
      </w:r>
      <w:r w:rsidR="006A01FD" w:rsidRPr="00960871">
        <w:rPr>
          <w:rFonts w:ascii="Arial" w:hAnsi="Arial" w:cs="Arial"/>
          <w:szCs w:val="22"/>
        </w:rPr>
        <w:t xml:space="preserve">                     </w:t>
      </w:r>
      <w:r w:rsidRPr="00960871">
        <w:rPr>
          <w:rFonts w:ascii="Arial" w:hAnsi="Arial" w:cs="Arial"/>
          <w:szCs w:val="22"/>
        </w:rPr>
        <w:t>Index</w:t>
      </w:r>
      <w:r w:rsidR="00336E0C" w:rsidRPr="00960871">
        <w:rPr>
          <w:rFonts w:ascii="Arial" w:hAnsi="Arial" w:cs="Arial"/>
          <w:szCs w:val="22"/>
        </w:rPr>
        <w:t xml:space="preserve"> </w:t>
      </w:r>
    </w:p>
    <w:p w14:paraId="6091EFF9" w14:textId="77777777" w:rsidR="00ED6F37" w:rsidRPr="00960871" w:rsidRDefault="00ED6F37" w:rsidP="00336E0C">
      <w:pPr>
        <w:ind w:left="-720" w:right="-720"/>
        <w:rPr>
          <w:rFonts w:ascii="Arial" w:hAnsi="Arial" w:cs="Arial"/>
          <w:szCs w:val="22"/>
        </w:rPr>
      </w:pPr>
    </w:p>
    <w:p w14:paraId="7CE27517" w14:textId="77777777" w:rsidR="00CC1D92" w:rsidRPr="00960871" w:rsidRDefault="00CC1D92" w:rsidP="009C0A98">
      <w:pPr>
        <w:ind w:left="-720" w:right="-720"/>
        <w:rPr>
          <w:rFonts w:ascii="Arial" w:hAnsi="Arial" w:cs="Arial"/>
          <w:szCs w:val="22"/>
        </w:rPr>
      </w:pPr>
      <w:r w:rsidRPr="00960871">
        <w:rPr>
          <w:rFonts w:ascii="Arial" w:hAnsi="Arial" w:cs="Arial"/>
          <w:szCs w:val="22"/>
        </w:rPr>
        <w:tab/>
      </w:r>
    </w:p>
    <w:p w14:paraId="7CE27518" w14:textId="77777777" w:rsidR="009C0A98" w:rsidRPr="00960871" w:rsidRDefault="000D681E" w:rsidP="00BF04D1">
      <w:pPr>
        <w:ind w:left="6480" w:right="-720" w:firstLine="720"/>
        <w:rPr>
          <w:rFonts w:ascii="Arial" w:hAnsi="Arial" w:cs="Arial"/>
          <w:szCs w:val="22"/>
        </w:rPr>
      </w:pPr>
      <w:r w:rsidRPr="00960871">
        <w:rPr>
          <w:rFonts w:ascii="Arial" w:hAnsi="Arial" w:cs="Arial"/>
          <w:szCs w:val="22"/>
        </w:rPr>
        <w:t xml:space="preserve">  </w:t>
      </w:r>
      <w:r w:rsidR="006A01FD" w:rsidRPr="00960871">
        <w:rPr>
          <w:rFonts w:ascii="Arial" w:hAnsi="Arial" w:cs="Arial"/>
          <w:szCs w:val="22"/>
        </w:rPr>
        <w:t xml:space="preserve">   </w:t>
      </w:r>
    </w:p>
    <w:p w14:paraId="7CE27519" w14:textId="77777777" w:rsidR="009C0A98" w:rsidRPr="00960871" w:rsidRDefault="009C0A98" w:rsidP="009C0A98">
      <w:pPr>
        <w:ind w:left="-720" w:right="-720"/>
        <w:rPr>
          <w:rFonts w:ascii="Arial" w:hAnsi="Arial" w:cs="Arial"/>
          <w:szCs w:val="22"/>
        </w:rPr>
      </w:pPr>
    </w:p>
    <w:p w14:paraId="7CE2751A" w14:textId="77777777" w:rsidR="009C0A98" w:rsidRPr="00AF6B4D" w:rsidRDefault="009C0A98" w:rsidP="009C0A98">
      <w:pPr>
        <w:ind w:left="-720" w:right="-720"/>
        <w:jc w:val="center"/>
        <w:outlineLvl w:val="0"/>
        <w:rPr>
          <w:rFonts w:ascii="Arial" w:hAnsi="Arial" w:cs="Arial"/>
        </w:rPr>
      </w:pPr>
      <w:r w:rsidRPr="00AF6B4D">
        <w:rPr>
          <w:rFonts w:ascii="Arial" w:hAnsi="Arial" w:cs="Arial"/>
        </w:rPr>
        <w:t>NEW YORK STATE DEPARTMENT OF LABOR</w:t>
      </w:r>
    </w:p>
    <w:p w14:paraId="7CE2751B" w14:textId="77777777" w:rsidR="009C0A98" w:rsidRPr="00AF6B4D" w:rsidRDefault="009C0A98" w:rsidP="009C0A98">
      <w:pPr>
        <w:ind w:left="-720" w:right="-720"/>
        <w:jc w:val="center"/>
        <w:outlineLvl w:val="0"/>
        <w:rPr>
          <w:rFonts w:ascii="Arial" w:hAnsi="Arial" w:cs="Arial"/>
        </w:rPr>
      </w:pPr>
      <w:r w:rsidRPr="00AF6B4D">
        <w:rPr>
          <w:rFonts w:ascii="Arial" w:hAnsi="Arial" w:cs="Arial"/>
        </w:rPr>
        <w:t>UNEMPLOYMENT INSURANCE DIVISION</w:t>
      </w:r>
    </w:p>
    <w:p w14:paraId="7CE2751C" w14:textId="77777777" w:rsidR="009C0A98" w:rsidRDefault="009C0A98" w:rsidP="009C0A98">
      <w:pPr>
        <w:ind w:left="-720" w:right="-720"/>
        <w:jc w:val="center"/>
        <w:outlineLvl w:val="0"/>
        <w:rPr>
          <w:rFonts w:ascii="Arial" w:hAnsi="Arial" w:cs="Arial"/>
        </w:rPr>
      </w:pPr>
      <w:r w:rsidRPr="00AF6B4D">
        <w:rPr>
          <w:rFonts w:ascii="Arial" w:hAnsi="Arial" w:cs="Arial"/>
        </w:rPr>
        <w:t>ADJUDICATION SERVICES OFFICE</w:t>
      </w:r>
    </w:p>
    <w:p w14:paraId="514FCA5D" w14:textId="77777777" w:rsidR="00ED6F37" w:rsidRPr="00AF6B4D" w:rsidRDefault="00ED6F37" w:rsidP="009C0A98">
      <w:pPr>
        <w:ind w:left="-720" w:right="-720"/>
        <w:jc w:val="center"/>
        <w:outlineLvl w:val="0"/>
        <w:rPr>
          <w:rFonts w:ascii="Arial" w:hAnsi="Arial" w:cs="Arial"/>
        </w:rPr>
      </w:pPr>
    </w:p>
    <w:p w14:paraId="7CE2751D" w14:textId="77777777" w:rsidR="009C0A98" w:rsidRPr="00AF6B4D" w:rsidRDefault="009C0A98" w:rsidP="009C0A98">
      <w:pPr>
        <w:ind w:left="-720" w:right="-720"/>
        <w:jc w:val="center"/>
        <w:rPr>
          <w:rFonts w:ascii="Arial" w:hAnsi="Arial" w:cs="Arial"/>
        </w:rPr>
      </w:pPr>
    </w:p>
    <w:p w14:paraId="7CE2751E" w14:textId="4030093C" w:rsidR="009C0A98" w:rsidRDefault="006671C2" w:rsidP="00EE44E0">
      <w:pPr>
        <w:ind w:left="-720" w:right="-720" w:firstLine="720"/>
        <w:jc w:val="center"/>
        <w:rPr>
          <w:rFonts w:ascii="Arial" w:hAnsi="Arial" w:cs="Arial"/>
        </w:rPr>
      </w:pPr>
      <w:r w:rsidRPr="00AF6B4D">
        <w:rPr>
          <w:rFonts w:ascii="Arial" w:hAnsi="Arial" w:cs="Arial"/>
        </w:rPr>
        <w:t>April</w:t>
      </w:r>
      <w:r w:rsidR="00311107" w:rsidRPr="00AF6B4D">
        <w:rPr>
          <w:rFonts w:ascii="Arial" w:hAnsi="Arial" w:cs="Arial"/>
        </w:rPr>
        <w:t>,</w:t>
      </w:r>
      <w:r w:rsidR="009C0A98" w:rsidRPr="00AF6B4D">
        <w:rPr>
          <w:rFonts w:ascii="Arial" w:hAnsi="Arial" w:cs="Arial"/>
        </w:rPr>
        <w:t xml:space="preserve"> 20</w:t>
      </w:r>
      <w:r w:rsidR="0045649C" w:rsidRPr="00AF6B4D">
        <w:rPr>
          <w:rFonts w:ascii="Arial" w:hAnsi="Arial" w:cs="Arial"/>
        </w:rPr>
        <w:t>2</w:t>
      </w:r>
      <w:r w:rsidRPr="00AF6B4D">
        <w:rPr>
          <w:rFonts w:ascii="Arial" w:hAnsi="Arial" w:cs="Arial"/>
        </w:rPr>
        <w:t>4</w:t>
      </w:r>
    </w:p>
    <w:p w14:paraId="6023180A" w14:textId="77777777" w:rsidR="000061BA" w:rsidRPr="00AF6B4D" w:rsidRDefault="000061BA" w:rsidP="00EE44E0">
      <w:pPr>
        <w:ind w:left="-720" w:right="-720" w:firstLine="720"/>
        <w:jc w:val="center"/>
        <w:rPr>
          <w:rFonts w:ascii="Arial" w:hAnsi="Arial" w:cs="Arial"/>
        </w:rPr>
      </w:pPr>
    </w:p>
    <w:p w14:paraId="7CE2751F" w14:textId="77777777" w:rsidR="006C31E3" w:rsidRPr="00AF6B4D" w:rsidRDefault="006C31E3" w:rsidP="009C0A98">
      <w:pPr>
        <w:ind w:left="2160" w:right="-720" w:firstLine="720"/>
        <w:jc w:val="center"/>
        <w:rPr>
          <w:rFonts w:ascii="Arial" w:hAnsi="Arial" w:cs="Arial"/>
        </w:rPr>
      </w:pPr>
    </w:p>
    <w:p w14:paraId="7CE27520" w14:textId="77777777" w:rsidR="009C0A98" w:rsidRPr="00AF6B4D" w:rsidRDefault="009C0A98" w:rsidP="009C0A98">
      <w:pPr>
        <w:ind w:left="2160" w:right="-720" w:firstLine="720"/>
        <w:jc w:val="center"/>
        <w:rPr>
          <w:rFonts w:ascii="Arial" w:hAnsi="Arial" w:cs="Arial"/>
        </w:rPr>
      </w:pPr>
      <w:r w:rsidRPr="00AF6B4D">
        <w:rPr>
          <w:rFonts w:ascii="Arial" w:hAnsi="Arial" w:cs="Arial"/>
        </w:rPr>
        <w:t>INTERPRETATION SERVICE-BENEFIT CLAIMS</w:t>
      </w:r>
    </w:p>
    <w:p w14:paraId="64B155E4" w14:textId="747DC508" w:rsidR="00DC3813" w:rsidRDefault="009C0A98" w:rsidP="00DC3813">
      <w:pPr>
        <w:ind w:left="2160" w:right="-720" w:firstLine="720"/>
        <w:rPr>
          <w:rFonts w:ascii="Arial" w:hAnsi="Arial" w:cs="Arial"/>
        </w:rPr>
      </w:pPr>
      <w:r w:rsidRPr="00AF6B4D">
        <w:rPr>
          <w:rFonts w:ascii="Arial" w:hAnsi="Arial" w:cs="Arial"/>
        </w:rPr>
        <w:t xml:space="preserve">           </w:t>
      </w:r>
      <w:r w:rsidRPr="00AF6B4D">
        <w:rPr>
          <w:rFonts w:ascii="Arial" w:hAnsi="Arial" w:cs="Arial"/>
        </w:rPr>
        <w:tab/>
      </w:r>
      <w:r w:rsidR="00467215">
        <w:rPr>
          <w:rFonts w:ascii="Arial" w:hAnsi="Arial" w:cs="Arial"/>
        </w:rPr>
        <w:t>Work Search</w:t>
      </w:r>
    </w:p>
    <w:p w14:paraId="5E8D033C" w14:textId="77777777" w:rsidR="00DC3813" w:rsidRDefault="00DC3813" w:rsidP="00DC3813">
      <w:pPr>
        <w:ind w:left="2160" w:right="-720" w:firstLine="720"/>
        <w:rPr>
          <w:rFonts w:ascii="Arial" w:hAnsi="Arial" w:cs="Arial"/>
        </w:rPr>
      </w:pPr>
    </w:p>
    <w:p w14:paraId="4964D86B" w14:textId="77777777" w:rsidR="00DC3813" w:rsidRDefault="00DC3813" w:rsidP="00DC3813">
      <w:pPr>
        <w:ind w:left="2160" w:right="-720" w:firstLine="720"/>
        <w:rPr>
          <w:rFonts w:ascii="Arial" w:hAnsi="Arial" w:cs="Arial"/>
        </w:rPr>
      </w:pPr>
    </w:p>
    <w:p w14:paraId="7CE27528" w14:textId="62C20C75" w:rsidR="0052476A" w:rsidRPr="00AF6B4D" w:rsidRDefault="00022904" w:rsidP="00DC3813">
      <w:pPr>
        <w:ind w:left="144" w:right="-720" w:firstLine="720"/>
        <w:rPr>
          <w:rFonts w:ascii="Arial" w:hAnsi="Arial" w:cs="Arial"/>
          <w:i/>
          <w:iCs/>
        </w:rPr>
      </w:pPr>
      <w:r>
        <w:rPr>
          <w:rFonts w:ascii="Arial" w:hAnsi="Arial" w:cs="Arial"/>
          <w:i/>
          <w:iCs/>
        </w:rPr>
        <w:t xml:space="preserve">Failure to Maintain </w:t>
      </w:r>
      <w:r w:rsidR="00C5349D">
        <w:rPr>
          <w:rFonts w:ascii="Arial" w:hAnsi="Arial" w:cs="Arial"/>
          <w:i/>
          <w:iCs/>
        </w:rPr>
        <w:t>Work Search</w:t>
      </w:r>
      <w:r>
        <w:rPr>
          <w:rFonts w:ascii="Arial" w:hAnsi="Arial" w:cs="Arial"/>
          <w:i/>
          <w:iCs/>
        </w:rPr>
        <w:t xml:space="preserve"> Records and Willful Misrepresentatio</w:t>
      </w:r>
      <w:r w:rsidR="00DC3813">
        <w:rPr>
          <w:rFonts w:ascii="Arial" w:hAnsi="Arial" w:cs="Arial"/>
          <w:i/>
          <w:iCs/>
        </w:rPr>
        <w:t>n</w:t>
      </w:r>
    </w:p>
    <w:p w14:paraId="7CE27529" w14:textId="77777777" w:rsidR="00336E0C" w:rsidRPr="00AF6B4D" w:rsidRDefault="00336E0C" w:rsidP="0052476A">
      <w:pPr>
        <w:ind w:right="-720" w:firstLine="1440"/>
        <w:jc w:val="both"/>
        <w:rPr>
          <w:rFonts w:ascii="Arial" w:hAnsi="Arial" w:cs="Arial"/>
          <w:u w:val="single"/>
        </w:rPr>
      </w:pPr>
    </w:p>
    <w:p w14:paraId="5154BC8F" w14:textId="2F530AC2" w:rsidR="006671C2" w:rsidRDefault="00336E0C" w:rsidP="006C3E41">
      <w:pPr>
        <w:rPr>
          <w:rFonts w:ascii="Arial" w:hAnsi="Arial" w:cs="Arial"/>
        </w:rPr>
      </w:pPr>
      <w:r w:rsidRPr="00AF6B4D">
        <w:rPr>
          <w:rFonts w:ascii="Arial" w:hAnsi="Arial" w:cs="Arial"/>
        </w:rPr>
        <w:tab/>
      </w:r>
      <w:r w:rsidR="006C3E41">
        <w:rPr>
          <w:rFonts w:ascii="Arial" w:hAnsi="Arial" w:cs="Arial"/>
        </w:rPr>
        <w:t>In cases where claimants falsely certify</w:t>
      </w:r>
      <w:r w:rsidR="00C36655">
        <w:rPr>
          <w:rFonts w:ascii="Arial" w:hAnsi="Arial" w:cs="Arial"/>
        </w:rPr>
        <w:t xml:space="preserve"> that they have maintained a work</w:t>
      </w:r>
      <w:r w:rsidR="00774DC5">
        <w:rPr>
          <w:rFonts w:ascii="Arial" w:hAnsi="Arial" w:cs="Arial"/>
        </w:rPr>
        <w:t xml:space="preserve"> </w:t>
      </w:r>
      <w:r w:rsidR="00C36655">
        <w:rPr>
          <w:rFonts w:ascii="Arial" w:hAnsi="Arial" w:cs="Arial"/>
        </w:rPr>
        <w:t>search record a recoverable overpayment</w:t>
      </w:r>
      <w:r w:rsidR="00774DC5">
        <w:rPr>
          <w:rFonts w:ascii="Arial" w:hAnsi="Arial" w:cs="Arial"/>
        </w:rPr>
        <w:t>, civil penalty and willful misrepresentation penalty may be imposed.</w:t>
      </w:r>
    </w:p>
    <w:p w14:paraId="792B5181" w14:textId="77777777" w:rsidR="006C3E41" w:rsidRDefault="006C3E41" w:rsidP="006C3E41">
      <w:pPr>
        <w:rPr>
          <w:rFonts w:ascii="Arial" w:hAnsi="Arial" w:cs="Arial"/>
        </w:rPr>
      </w:pPr>
    </w:p>
    <w:p w14:paraId="4DFCC634" w14:textId="77777777" w:rsidR="006C3E41" w:rsidRPr="00AF6B4D" w:rsidRDefault="006C3E41" w:rsidP="006C3E41">
      <w:pPr>
        <w:rPr>
          <w:rFonts w:ascii="Arial" w:hAnsi="Arial" w:cs="Arial"/>
        </w:rPr>
      </w:pPr>
    </w:p>
    <w:p w14:paraId="7CE2752B" w14:textId="0A86E4C7" w:rsidR="00012F63" w:rsidRPr="00AF6B4D" w:rsidRDefault="006671C2" w:rsidP="00AE1716">
      <w:pPr>
        <w:spacing w:line="276" w:lineRule="auto"/>
        <w:rPr>
          <w:rFonts w:ascii="Arial" w:hAnsi="Arial" w:cs="Arial"/>
        </w:rPr>
      </w:pPr>
      <w:r w:rsidRPr="00AF6B4D">
        <w:rPr>
          <w:rFonts w:ascii="Arial" w:hAnsi="Arial" w:cs="Arial"/>
        </w:rPr>
        <w:tab/>
      </w:r>
      <w:r w:rsidRPr="00AF6B4D">
        <w:rPr>
          <w:rFonts w:ascii="Arial" w:hAnsi="Arial" w:cs="Arial"/>
        </w:rPr>
        <w:tab/>
      </w:r>
      <w:r w:rsidRPr="00AF6B4D">
        <w:rPr>
          <w:rFonts w:ascii="Arial" w:hAnsi="Arial" w:cs="Arial"/>
        </w:rPr>
        <w:tab/>
      </w:r>
      <w:r w:rsidRPr="00AF6B4D">
        <w:rPr>
          <w:rFonts w:ascii="Arial" w:hAnsi="Arial" w:cs="Arial"/>
        </w:rPr>
        <w:tab/>
      </w:r>
      <w:r w:rsidR="00810BCE" w:rsidRPr="00AF6B4D">
        <w:rPr>
          <w:rFonts w:ascii="Arial" w:hAnsi="Arial" w:cs="Arial"/>
        </w:rPr>
        <w:t xml:space="preserve">           AB 63</w:t>
      </w:r>
      <w:r w:rsidR="00AB3929">
        <w:rPr>
          <w:rFonts w:ascii="Arial" w:hAnsi="Arial" w:cs="Arial"/>
        </w:rPr>
        <w:t xml:space="preserve">0571, </w:t>
      </w:r>
      <w:r w:rsidR="009F5B26">
        <w:rPr>
          <w:rFonts w:ascii="Arial" w:hAnsi="Arial" w:cs="Arial"/>
        </w:rPr>
        <w:t>630572</w:t>
      </w:r>
      <w:r w:rsidR="002C1F88" w:rsidRPr="00AF6B4D">
        <w:rPr>
          <w:rFonts w:ascii="Arial" w:hAnsi="Arial" w:cs="Arial"/>
        </w:rPr>
        <w:t xml:space="preserve">           </w:t>
      </w:r>
    </w:p>
    <w:p w14:paraId="0F3B3231" w14:textId="77777777" w:rsidR="00583750" w:rsidRPr="00AF6B4D" w:rsidRDefault="009549C0" w:rsidP="0020063A">
      <w:pPr>
        <w:rPr>
          <w:rFonts w:ascii="Arial" w:hAnsi="Arial" w:cs="Arial"/>
        </w:rPr>
      </w:pPr>
      <w:r w:rsidRPr="00AF6B4D">
        <w:rPr>
          <w:rFonts w:ascii="Arial" w:hAnsi="Arial" w:cs="Arial"/>
        </w:rPr>
        <w:t xml:space="preserve">                                              </w:t>
      </w:r>
      <w:r w:rsidR="0020063A" w:rsidRPr="00AF6B4D">
        <w:rPr>
          <w:rFonts w:ascii="Arial" w:hAnsi="Arial" w:cs="Arial"/>
        </w:rPr>
        <w:tab/>
      </w:r>
      <w:r w:rsidR="0020063A" w:rsidRPr="00AF6B4D">
        <w:rPr>
          <w:rFonts w:ascii="Arial" w:hAnsi="Arial" w:cs="Arial"/>
        </w:rPr>
        <w:tab/>
      </w:r>
    </w:p>
    <w:p w14:paraId="0A3C5433" w14:textId="77777777" w:rsidR="00AB3929" w:rsidRDefault="00960871" w:rsidP="00AB3929">
      <w:pPr>
        <w:widowControl w:val="0"/>
        <w:autoSpaceDE w:val="0"/>
        <w:autoSpaceDN w:val="0"/>
        <w:adjustRightInd w:val="0"/>
        <w:spacing w:line="20" w:lineRule="atLeast"/>
        <w:rPr>
          <w:rFonts w:ascii="Arial" w:hAnsi="Arial" w:cs="Arial"/>
        </w:rPr>
      </w:pPr>
      <w:r w:rsidRPr="00AF6B4D">
        <w:rPr>
          <w:rFonts w:ascii="Arial" w:hAnsi="Arial" w:cs="Arial"/>
        </w:rPr>
        <w:tab/>
      </w:r>
      <w:r w:rsidR="00AB3929">
        <w:rPr>
          <w:rFonts w:ascii="Arial" w:hAnsi="Arial" w:cs="Arial"/>
        </w:rPr>
        <w:t xml:space="preserve">In Appeal Board Nos. 630571 and 630572, the </w:t>
      </w:r>
      <w:r w:rsidR="00AB3929" w:rsidRPr="00607CAA">
        <w:rPr>
          <w:rFonts w:ascii="Arial" w:hAnsi="Arial" w:cs="Arial"/>
        </w:rPr>
        <w:t xml:space="preserve">Commissioner of Labor </w:t>
      </w:r>
      <w:r w:rsidR="00AB3929">
        <w:rPr>
          <w:rFonts w:ascii="Arial" w:hAnsi="Arial" w:cs="Arial"/>
        </w:rPr>
        <w:t xml:space="preserve">appeals from the decisions of the Administrative Law Judge filed August 10, 2023, which </w:t>
      </w:r>
      <w:r w:rsidR="00AB3929" w:rsidRPr="00607CAA">
        <w:rPr>
          <w:rFonts w:ascii="Arial" w:hAnsi="Arial" w:cs="Arial"/>
        </w:rPr>
        <w:t xml:space="preserve">sustained </w:t>
      </w:r>
      <w:r w:rsidR="00AB3929">
        <w:rPr>
          <w:rFonts w:ascii="Arial" w:hAnsi="Arial" w:cs="Arial"/>
        </w:rPr>
        <w:t xml:space="preserve">the initial determination charging the claimant with an overpayment of $359 in regular unemployment insurance benefits recoverable pursuant to Labor Law § 597 (4), as modified to be nonrecoverable; and overruled the initial determination reducing the claimant's right to receive future benefits by eight effective days </w:t>
      </w:r>
      <w:r w:rsidR="00AB3929" w:rsidRPr="00607CAA">
        <w:rPr>
          <w:rFonts w:ascii="Arial" w:hAnsi="Arial" w:cs="Arial"/>
        </w:rPr>
        <w:t>and charging a civil penalty of $</w:t>
      </w:r>
      <w:r w:rsidR="00AB3929">
        <w:rPr>
          <w:rFonts w:ascii="Arial" w:hAnsi="Arial" w:cs="Arial"/>
        </w:rPr>
        <w:t>100</w:t>
      </w:r>
      <w:r w:rsidR="00AB3929" w:rsidRPr="00607CAA">
        <w:rPr>
          <w:rFonts w:ascii="Arial" w:hAnsi="Arial" w:cs="Arial"/>
        </w:rPr>
        <w:t xml:space="preserve"> </w:t>
      </w:r>
      <w:r w:rsidR="00AB3929">
        <w:rPr>
          <w:rFonts w:ascii="Arial" w:hAnsi="Arial" w:cs="Arial"/>
        </w:rPr>
        <w:t xml:space="preserve">on the basis that the claimant made a willful misrepresentation to obtain benefits. </w:t>
      </w:r>
    </w:p>
    <w:p w14:paraId="4776E18C" w14:textId="77777777" w:rsidR="00AB3929" w:rsidRDefault="00AB3929" w:rsidP="00AB3929">
      <w:pPr>
        <w:widowControl w:val="0"/>
        <w:autoSpaceDE w:val="0"/>
        <w:autoSpaceDN w:val="0"/>
        <w:adjustRightInd w:val="0"/>
        <w:spacing w:line="20" w:lineRule="atLeast"/>
        <w:rPr>
          <w:rFonts w:ascii="Arial" w:hAnsi="Arial" w:cs="Arial"/>
        </w:rPr>
      </w:pPr>
    </w:p>
    <w:p w14:paraId="36B79A77" w14:textId="3942F0BF" w:rsidR="00AB3929" w:rsidRDefault="00AB3929" w:rsidP="00AB3929">
      <w:pPr>
        <w:widowControl w:val="0"/>
        <w:autoSpaceDE w:val="0"/>
        <w:autoSpaceDN w:val="0"/>
        <w:adjustRightInd w:val="0"/>
        <w:spacing w:line="20" w:lineRule="atLeast"/>
        <w:rPr>
          <w:rFonts w:ascii="Arial" w:hAnsi="Arial" w:cs="Arial"/>
        </w:rPr>
      </w:pPr>
      <w:r>
        <w:rPr>
          <w:rFonts w:ascii="Arial" w:hAnsi="Arial" w:cs="Arial"/>
        </w:rPr>
        <w:tab/>
        <w:t xml:space="preserve">By decisions filed June 6, 2023, the Board rescinded </w:t>
      </w:r>
      <w:r w:rsidRPr="003D01F8">
        <w:rPr>
          <w:rFonts w:ascii="Arial" w:hAnsi="Arial" w:cs="Arial"/>
        </w:rPr>
        <w:t>the Board’s</w:t>
      </w:r>
      <w:r w:rsidRPr="003D01F8">
        <w:rPr>
          <w:rFonts w:ascii="Arial" w:hAnsi="Arial" w:cs="Arial"/>
          <w:color w:val="FF0000"/>
        </w:rPr>
        <w:t xml:space="preserve"> </w:t>
      </w:r>
      <w:r>
        <w:rPr>
          <w:rFonts w:ascii="Arial" w:hAnsi="Arial" w:cs="Arial"/>
        </w:rPr>
        <w:t xml:space="preserve">prior decisions and decisions of the Administrative Law Judge filed December 2, 2022, regarding the issues of recoverable overpayment and willful misrepresentation to obtain benefits </w:t>
      </w:r>
      <w:r w:rsidRPr="003D01F8">
        <w:rPr>
          <w:rFonts w:ascii="Arial" w:hAnsi="Arial" w:cs="Arial"/>
        </w:rPr>
        <w:t xml:space="preserve">with forfeit penalty and civil </w:t>
      </w:r>
      <w:proofErr w:type="gramStart"/>
      <w:r w:rsidRPr="003D01F8">
        <w:rPr>
          <w:rFonts w:ascii="Arial" w:hAnsi="Arial" w:cs="Arial"/>
        </w:rPr>
        <w:t>penalty, and</w:t>
      </w:r>
      <w:proofErr w:type="gramEnd"/>
      <w:r w:rsidRPr="008C7B49">
        <w:rPr>
          <w:rFonts w:ascii="Arial" w:hAnsi="Arial" w:cs="Arial"/>
        </w:rPr>
        <w:t xml:space="preserve"> </w:t>
      </w:r>
      <w:r>
        <w:rPr>
          <w:rFonts w:ascii="Arial" w:hAnsi="Arial" w:cs="Arial"/>
        </w:rPr>
        <w:t xml:space="preserve">remanded the case to the Hearing Section for a hearing and a decision on the remanded issues. At the combined </w:t>
      </w:r>
      <w:r w:rsidRPr="00607CAA">
        <w:rPr>
          <w:rFonts w:ascii="Arial" w:hAnsi="Arial" w:cs="Arial"/>
        </w:rPr>
        <w:t xml:space="preserve">telephone conference hearing </w:t>
      </w:r>
      <w:r>
        <w:rPr>
          <w:rFonts w:ascii="Arial" w:hAnsi="Arial" w:cs="Arial"/>
        </w:rPr>
        <w:t xml:space="preserve">before the Administrative Law Judge, </w:t>
      </w:r>
      <w:r w:rsidRPr="00807A98">
        <w:rPr>
          <w:rFonts w:ascii="Arial" w:hAnsi="Arial" w:cs="Arial"/>
        </w:rPr>
        <w:t xml:space="preserve">all parties were accorded a full opportunity to be heard and testimony was taken. There were appearances by the claimant and on behalf of the Commissioner of Labor. </w:t>
      </w:r>
    </w:p>
    <w:p w14:paraId="3CADA292" w14:textId="77777777" w:rsidR="00AB3929" w:rsidRDefault="00AB3929" w:rsidP="00AB3929">
      <w:pPr>
        <w:widowControl w:val="0"/>
        <w:autoSpaceDE w:val="0"/>
        <w:autoSpaceDN w:val="0"/>
        <w:adjustRightInd w:val="0"/>
        <w:spacing w:line="20" w:lineRule="atLeast"/>
        <w:rPr>
          <w:rFonts w:ascii="Arial" w:hAnsi="Arial" w:cs="Arial"/>
        </w:rPr>
      </w:pPr>
    </w:p>
    <w:p w14:paraId="6C427E9F" w14:textId="77777777" w:rsidR="00AB3929" w:rsidRDefault="00AB3929" w:rsidP="00AB3929">
      <w:pPr>
        <w:widowControl w:val="0"/>
        <w:autoSpaceDE w:val="0"/>
        <w:autoSpaceDN w:val="0"/>
        <w:adjustRightInd w:val="0"/>
        <w:spacing w:line="20" w:lineRule="atLeast"/>
        <w:rPr>
          <w:rFonts w:ascii="Arial" w:hAnsi="Arial" w:cs="Arial"/>
        </w:rPr>
      </w:pPr>
      <w:r>
        <w:rPr>
          <w:rFonts w:ascii="Arial" w:hAnsi="Arial" w:cs="Arial"/>
        </w:rPr>
        <w:tab/>
        <w:t xml:space="preserve">The Board considered the arguments contained in the written statement submitted </w:t>
      </w:r>
      <w:r w:rsidRPr="00807A98">
        <w:rPr>
          <w:rFonts w:ascii="Arial" w:hAnsi="Arial" w:cs="Arial"/>
        </w:rPr>
        <w:t>on behalf of the Commissioner of Labor</w:t>
      </w:r>
      <w:r>
        <w:rPr>
          <w:rFonts w:ascii="Arial" w:hAnsi="Arial" w:cs="Arial"/>
        </w:rPr>
        <w:t xml:space="preserve">. </w:t>
      </w:r>
    </w:p>
    <w:p w14:paraId="4E0093D2" w14:textId="77777777" w:rsidR="00AB3929" w:rsidRDefault="00AB3929" w:rsidP="00AB3929">
      <w:pPr>
        <w:widowControl w:val="0"/>
        <w:autoSpaceDE w:val="0"/>
        <w:autoSpaceDN w:val="0"/>
        <w:adjustRightInd w:val="0"/>
        <w:spacing w:line="20" w:lineRule="atLeast"/>
        <w:rPr>
          <w:rFonts w:ascii="Arial" w:hAnsi="Arial" w:cs="Arial"/>
        </w:rPr>
      </w:pPr>
    </w:p>
    <w:p w14:paraId="0733B516" w14:textId="77777777" w:rsidR="00AB3929" w:rsidRDefault="00AB3929" w:rsidP="00AB3929">
      <w:pPr>
        <w:widowControl w:val="0"/>
        <w:autoSpaceDE w:val="0"/>
        <w:autoSpaceDN w:val="0"/>
        <w:adjustRightInd w:val="0"/>
        <w:spacing w:line="20" w:lineRule="atLeast"/>
        <w:rPr>
          <w:rFonts w:ascii="Arial" w:hAnsi="Arial" w:cs="Arial"/>
        </w:rPr>
      </w:pPr>
      <w:r>
        <w:rPr>
          <w:rFonts w:ascii="Arial" w:hAnsi="Arial" w:cs="Arial"/>
        </w:rPr>
        <w:tab/>
        <w:t>Based on the record and testimony in this case, the Board makes the following</w:t>
      </w:r>
    </w:p>
    <w:p w14:paraId="65B6BFA4" w14:textId="77777777" w:rsidR="00AB3929" w:rsidRDefault="00AB3929" w:rsidP="00AB3929">
      <w:pPr>
        <w:widowControl w:val="0"/>
        <w:autoSpaceDE w:val="0"/>
        <w:autoSpaceDN w:val="0"/>
        <w:adjustRightInd w:val="0"/>
        <w:spacing w:line="20" w:lineRule="atLeast"/>
        <w:rPr>
          <w:rFonts w:ascii="Arial" w:hAnsi="Arial" w:cs="Arial"/>
        </w:rPr>
      </w:pPr>
    </w:p>
    <w:p w14:paraId="2EE2EEB1" w14:textId="77777777" w:rsidR="00AB3929" w:rsidRDefault="00AB3929" w:rsidP="00AB3929">
      <w:pPr>
        <w:widowControl w:val="0"/>
        <w:autoSpaceDE w:val="0"/>
        <w:autoSpaceDN w:val="0"/>
        <w:adjustRightInd w:val="0"/>
        <w:spacing w:line="20" w:lineRule="atLeast"/>
        <w:rPr>
          <w:rFonts w:ascii="Arial" w:hAnsi="Arial" w:cs="Arial"/>
          <w:lang w:bidi="as-IN"/>
        </w:rPr>
      </w:pPr>
      <w:r>
        <w:rPr>
          <w:rFonts w:ascii="Arial" w:hAnsi="Arial" w:cs="Arial"/>
        </w:rPr>
        <w:t xml:space="preserve">FINDINGS OF FACT: </w:t>
      </w:r>
      <w:r>
        <w:rPr>
          <w:rFonts w:ascii="Arial" w:hAnsi="Arial" w:cs="Arial"/>
          <w:lang w:bidi="as-IN"/>
        </w:rPr>
        <w:t xml:space="preserve">After the claimant had filed a claim for benefits effective April 18, 2022, he certified for benefits by telephone for the week ending April 24, 2022 through the week ending July 24, 2022. </w:t>
      </w:r>
    </w:p>
    <w:p w14:paraId="52EBB64B" w14:textId="77777777" w:rsidR="00AB3929" w:rsidRDefault="00AB3929" w:rsidP="00AB3929">
      <w:pPr>
        <w:widowControl w:val="0"/>
        <w:autoSpaceDE w:val="0"/>
        <w:autoSpaceDN w:val="0"/>
        <w:adjustRightInd w:val="0"/>
        <w:spacing w:line="20" w:lineRule="atLeast"/>
        <w:rPr>
          <w:rFonts w:ascii="Arial" w:hAnsi="Arial" w:cs="Arial"/>
          <w:lang w:bidi="as-IN"/>
        </w:rPr>
      </w:pPr>
    </w:p>
    <w:p w14:paraId="37BD4BB7" w14:textId="5A3E4967" w:rsidR="00AB3929" w:rsidRDefault="00AB3929" w:rsidP="00AB3929">
      <w:pPr>
        <w:widowControl w:val="0"/>
        <w:autoSpaceDE w:val="0"/>
        <w:autoSpaceDN w:val="0"/>
        <w:adjustRightInd w:val="0"/>
        <w:spacing w:line="20" w:lineRule="atLeast"/>
        <w:rPr>
          <w:rFonts w:ascii="Arial" w:hAnsi="Arial" w:cs="Arial"/>
          <w:lang w:bidi="as-IN"/>
        </w:rPr>
      </w:pPr>
      <w:r>
        <w:rPr>
          <w:rFonts w:ascii="Arial" w:hAnsi="Arial" w:cs="Arial"/>
          <w:lang w:bidi="as-IN"/>
        </w:rPr>
        <w:tab/>
        <w:t xml:space="preserve">Each week, when the claimant certified for </w:t>
      </w:r>
      <w:r w:rsidR="006B3A1C">
        <w:rPr>
          <w:rFonts w:ascii="Arial" w:hAnsi="Arial" w:cs="Arial"/>
          <w:lang w:bidi="as-IN"/>
        </w:rPr>
        <w:t>benefits,</w:t>
      </w:r>
      <w:r>
        <w:rPr>
          <w:rFonts w:ascii="Arial" w:hAnsi="Arial" w:cs="Arial"/>
          <w:lang w:bidi="as-IN"/>
        </w:rPr>
        <w:t xml:space="preserve"> he was told that by placing the claim he was certifying that the statements are true and correct and that he complied with any work search requirements in the week that is claimed. Prior to completing each certification, he was also told that to be eligible for benefits he must be actively seeking work and develop and keep a record of his work search activities for one year, and that if he received a request to submit his Work Search Record to the Department of Labor and failed to respond to the request, that his benefits may be stopped. The claimant did not maintain a written record of his work search because he was involved in activities searching for work.</w:t>
      </w:r>
    </w:p>
    <w:p w14:paraId="740E779B" w14:textId="77777777" w:rsidR="00AB3929" w:rsidRDefault="00AB3929" w:rsidP="00AB3929">
      <w:pPr>
        <w:widowControl w:val="0"/>
        <w:autoSpaceDE w:val="0"/>
        <w:autoSpaceDN w:val="0"/>
        <w:adjustRightInd w:val="0"/>
        <w:spacing w:line="20" w:lineRule="atLeast"/>
        <w:rPr>
          <w:rFonts w:ascii="Arial" w:hAnsi="Arial" w:cs="Arial"/>
          <w:lang w:bidi="as-IN"/>
        </w:rPr>
      </w:pPr>
      <w:r>
        <w:rPr>
          <w:rFonts w:ascii="Arial" w:hAnsi="Arial" w:cs="Arial"/>
          <w:lang w:bidi="as-IN"/>
        </w:rPr>
        <w:t xml:space="preserve"> </w:t>
      </w:r>
    </w:p>
    <w:p w14:paraId="6A0F6420" w14:textId="77777777" w:rsidR="00AB3929" w:rsidRDefault="00AB3929" w:rsidP="00AB3929">
      <w:pPr>
        <w:widowControl w:val="0"/>
        <w:autoSpaceDE w:val="0"/>
        <w:autoSpaceDN w:val="0"/>
        <w:adjustRightInd w:val="0"/>
        <w:spacing w:line="20" w:lineRule="atLeast"/>
        <w:rPr>
          <w:rFonts w:ascii="Arial" w:hAnsi="Arial" w:cs="Arial"/>
        </w:rPr>
      </w:pPr>
      <w:r>
        <w:rPr>
          <w:rFonts w:ascii="Arial" w:hAnsi="Arial" w:cs="Arial"/>
          <w:lang w:bidi="as-IN"/>
        </w:rPr>
        <w:tab/>
        <w:t>The claimant certified for benefits for the week ending July 24, 2022. He received $359 in benefits for that week.</w:t>
      </w:r>
    </w:p>
    <w:p w14:paraId="6B811256" w14:textId="77777777" w:rsidR="00AB3929" w:rsidRDefault="00AB3929" w:rsidP="00AB3929">
      <w:pPr>
        <w:widowControl w:val="0"/>
        <w:autoSpaceDE w:val="0"/>
        <w:autoSpaceDN w:val="0"/>
        <w:adjustRightInd w:val="0"/>
        <w:spacing w:line="20" w:lineRule="atLeast"/>
        <w:rPr>
          <w:rFonts w:ascii="Arial" w:hAnsi="Arial" w:cs="Arial"/>
        </w:rPr>
      </w:pPr>
    </w:p>
    <w:p w14:paraId="51A970F7" w14:textId="77777777" w:rsidR="00AB3929" w:rsidRDefault="00AB3929" w:rsidP="00AB3929">
      <w:pPr>
        <w:widowControl w:val="0"/>
        <w:autoSpaceDE w:val="0"/>
        <w:autoSpaceDN w:val="0"/>
        <w:adjustRightInd w:val="0"/>
        <w:spacing w:line="20" w:lineRule="atLeast"/>
        <w:rPr>
          <w:rFonts w:ascii="Arial" w:hAnsi="Arial" w:cs="Arial"/>
          <w:lang w:bidi="as-IN"/>
        </w:rPr>
      </w:pPr>
      <w:r>
        <w:rPr>
          <w:rFonts w:ascii="Arial" w:hAnsi="Arial" w:cs="Arial"/>
        </w:rPr>
        <w:t xml:space="preserve">OPINION: </w:t>
      </w:r>
      <w:r>
        <w:rPr>
          <w:rFonts w:ascii="Arial" w:hAnsi="Arial" w:cs="Arial"/>
          <w:lang w:bidi="as-IN"/>
        </w:rPr>
        <w:t>The Administrative Law Judge in A.L.J. Case No. 022-28227 (filed December 2, 2022) decided that the claimant did not comply with the work search requirement of keeping a record of work search activities for the time period from July 18, 2022 through July 24, 2022. There was no appeal from that decision. We are bound by that decision. Accordingly, the claimant was overpaid regular unemployment insurance benefits in the amount of $359 attributable to the week ending July 24, 2022.</w:t>
      </w:r>
    </w:p>
    <w:p w14:paraId="6C5F9A28" w14:textId="77777777" w:rsidR="00AB3929" w:rsidRDefault="00AB3929" w:rsidP="00AB3929">
      <w:pPr>
        <w:widowControl w:val="0"/>
        <w:autoSpaceDE w:val="0"/>
        <w:autoSpaceDN w:val="0"/>
        <w:adjustRightInd w:val="0"/>
        <w:spacing w:line="20" w:lineRule="atLeast"/>
        <w:rPr>
          <w:rFonts w:ascii="Arial" w:hAnsi="Arial" w:cs="Arial"/>
          <w:lang w:bidi="as-IN"/>
        </w:rPr>
      </w:pPr>
    </w:p>
    <w:p w14:paraId="2AA9D5FC" w14:textId="2292EB55" w:rsidR="00AB3929" w:rsidRDefault="00AB3929" w:rsidP="00AB3929">
      <w:pPr>
        <w:widowControl w:val="0"/>
        <w:autoSpaceDE w:val="0"/>
        <w:autoSpaceDN w:val="0"/>
        <w:adjustRightInd w:val="0"/>
        <w:spacing w:line="20" w:lineRule="atLeast"/>
        <w:rPr>
          <w:rFonts w:ascii="Arial" w:hAnsi="Arial" w:cs="Arial"/>
        </w:rPr>
      </w:pPr>
      <w:r>
        <w:rPr>
          <w:rFonts w:ascii="Arial" w:hAnsi="Arial" w:cs="Arial"/>
          <w:lang w:bidi="as-IN"/>
        </w:rPr>
        <w:tab/>
        <w:t xml:space="preserve">The credible evidence establishes that when the claimant certified for benefits for the week ending July 24, 2022, he was made aware that by completing the certification to claim benefits for that week he was certifying that he had also complied during that week with the work search requirements. This includes the requirement to keep a record of his work search activities for one year. The claimant admittedly did not keep a written record of his work search activities. The claimant admitted that each week when he certified for </w:t>
      </w:r>
      <w:r w:rsidR="006B3A1C">
        <w:rPr>
          <w:rFonts w:ascii="Arial" w:hAnsi="Arial" w:cs="Arial"/>
          <w:lang w:bidi="as-IN"/>
        </w:rPr>
        <w:t>benefits,</w:t>
      </w:r>
      <w:r>
        <w:rPr>
          <w:rFonts w:ascii="Arial" w:hAnsi="Arial" w:cs="Arial"/>
          <w:lang w:bidi="as-IN"/>
        </w:rPr>
        <w:t xml:space="preserve"> he had heard the portion of the recording about keeping a record of his work search activities for one year. Although he contends that, on some occasions when certifying, the recording presented by the telephone system sometimes went silent or skipped ahead, he did not indicate that he did not hear this specific information. In addition, the claimant testified that he may not have paid attention to that portion of the recording. Each week, by certifying for benefits the claimant was also certifying that he had complied that week with the work search requirements. Since he had not kept a record of his work search activities and knew he had not done so, we conclude that his certification for the week ending July 24, 2022 was both factually false and constitutes a willful misrepresentation to obtain benefits. Accordingly, the overpaid benefits are </w:t>
      </w:r>
      <w:proofErr w:type="gramStart"/>
      <w:r>
        <w:rPr>
          <w:rFonts w:ascii="Arial" w:hAnsi="Arial" w:cs="Arial"/>
          <w:lang w:bidi="as-IN"/>
        </w:rPr>
        <w:t>recoverable</w:t>
      </w:r>
      <w:proofErr w:type="gramEnd"/>
      <w:r>
        <w:rPr>
          <w:rFonts w:ascii="Arial" w:hAnsi="Arial" w:cs="Arial"/>
          <w:lang w:bidi="as-IN"/>
        </w:rPr>
        <w:t xml:space="preserve"> and the claimant is subject to the forfeit penalty and the civil penalty that have been imposed.</w:t>
      </w:r>
    </w:p>
    <w:p w14:paraId="5082FC4A" w14:textId="77777777" w:rsidR="00AB3929" w:rsidRDefault="00AB3929" w:rsidP="00AB3929">
      <w:pPr>
        <w:widowControl w:val="0"/>
        <w:autoSpaceDE w:val="0"/>
        <w:autoSpaceDN w:val="0"/>
        <w:adjustRightInd w:val="0"/>
        <w:spacing w:line="20" w:lineRule="atLeast"/>
        <w:rPr>
          <w:rFonts w:ascii="Arial" w:hAnsi="Arial" w:cs="Arial"/>
        </w:rPr>
      </w:pPr>
    </w:p>
    <w:p w14:paraId="4C157142" w14:textId="77777777" w:rsidR="00AB3929" w:rsidRDefault="00AB3929" w:rsidP="00AB3929">
      <w:pPr>
        <w:widowControl w:val="0"/>
        <w:autoSpaceDE w:val="0"/>
        <w:autoSpaceDN w:val="0"/>
        <w:adjustRightInd w:val="0"/>
        <w:spacing w:line="20" w:lineRule="atLeast"/>
        <w:rPr>
          <w:rFonts w:ascii="Arial" w:hAnsi="Arial" w:cs="Arial"/>
        </w:rPr>
      </w:pPr>
      <w:r>
        <w:rPr>
          <w:rFonts w:ascii="Arial" w:hAnsi="Arial" w:cs="Arial"/>
        </w:rPr>
        <w:lastRenderedPageBreak/>
        <w:t>DECISION: The decisions of the Administrative Law Judge are reversed.</w:t>
      </w:r>
    </w:p>
    <w:p w14:paraId="6DA6CAAA" w14:textId="77777777" w:rsidR="00AB3929" w:rsidRDefault="00AB3929" w:rsidP="00AB3929">
      <w:pPr>
        <w:widowControl w:val="0"/>
        <w:autoSpaceDE w:val="0"/>
        <w:autoSpaceDN w:val="0"/>
        <w:adjustRightInd w:val="0"/>
        <w:spacing w:line="20" w:lineRule="atLeast"/>
        <w:rPr>
          <w:rFonts w:ascii="Arial" w:hAnsi="Arial" w:cs="Arial"/>
        </w:rPr>
      </w:pPr>
    </w:p>
    <w:p w14:paraId="32B9C5DB" w14:textId="77777777" w:rsidR="00AB3929" w:rsidRDefault="00AB3929" w:rsidP="00AB3929">
      <w:pPr>
        <w:widowControl w:val="0"/>
        <w:autoSpaceDE w:val="0"/>
        <w:autoSpaceDN w:val="0"/>
        <w:adjustRightInd w:val="0"/>
        <w:spacing w:line="20" w:lineRule="atLeast"/>
        <w:rPr>
          <w:rFonts w:ascii="Arial" w:hAnsi="Arial" w:cs="Arial"/>
        </w:rPr>
      </w:pPr>
      <w:r>
        <w:rPr>
          <w:rFonts w:ascii="Arial" w:hAnsi="Arial" w:cs="Arial"/>
        </w:rPr>
        <w:tab/>
        <w:t xml:space="preserve">In Appeal Board Nos. 630571 and 630572, the initial determinations, charging the claimant with an overpayment of $359 in regular unemployment insurance benefits recoverable pursuant to Labor Law § 597 (4); and reducing the claimant's right to receive future benefits by eight effective days </w:t>
      </w:r>
      <w:r w:rsidRPr="00607CAA">
        <w:rPr>
          <w:rFonts w:ascii="Arial" w:hAnsi="Arial" w:cs="Arial"/>
        </w:rPr>
        <w:t>and charging a civil penalty of $</w:t>
      </w:r>
      <w:r>
        <w:rPr>
          <w:rFonts w:ascii="Arial" w:hAnsi="Arial" w:cs="Arial"/>
        </w:rPr>
        <w:t>100</w:t>
      </w:r>
      <w:r w:rsidRPr="00607CAA">
        <w:rPr>
          <w:rFonts w:ascii="Arial" w:hAnsi="Arial" w:cs="Arial"/>
        </w:rPr>
        <w:t xml:space="preserve"> </w:t>
      </w:r>
      <w:r>
        <w:rPr>
          <w:rFonts w:ascii="Arial" w:hAnsi="Arial" w:cs="Arial"/>
        </w:rPr>
        <w:t xml:space="preserve">on the basis that the claimant made a willful misrepresentation to obtain benefits, are </w:t>
      </w:r>
      <w:r w:rsidRPr="00807A98">
        <w:rPr>
          <w:rFonts w:ascii="Arial" w:hAnsi="Arial" w:cs="Arial"/>
        </w:rPr>
        <w:t>sustained</w:t>
      </w:r>
      <w:r>
        <w:rPr>
          <w:rFonts w:ascii="Arial" w:hAnsi="Arial" w:cs="Arial"/>
        </w:rPr>
        <w:t>.</w:t>
      </w:r>
    </w:p>
    <w:p w14:paraId="1BE84431" w14:textId="77777777" w:rsidR="00AB3929" w:rsidRDefault="00AB3929" w:rsidP="00AB3929">
      <w:pPr>
        <w:widowControl w:val="0"/>
        <w:autoSpaceDE w:val="0"/>
        <w:autoSpaceDN w:val="0"/>
        <w:adjustRightInd w:val="0"/>
        <w:spacing w:line="20" w:lineRule="atLeast"/>
        <w:rPr>
          <w:rFonts w:ascii="Arial" w:hAnsi="Arial" w:cs="Arial"/>
        </w:rPr>
      </w:pPr>
    </w:p>
    <w:p w14:paraId="388CD947" w14:textId="77777777" w:rsidR="00AB3929" w:rsidRDefault="00AB3929" w:rsidP="00AB3929">
      <w:pPr>
        <w:widowControl w:val="0"/>
        <w:autoSpaceDE w:val="0"/>
        <w:autoSpaceDN w:val="0"/>
        <w:adjustRightInd w:val="0"/>
        <w:spacing w:line="20" w:lineRule="atLeast"/>
        <w:rPr>
          <w:rFonts w:ascii="Arial" w:hAnsi="Arial" w:cs="Arial"/>
        </w:rPr>
      </w:pPr>
      <w:r>
        <w:rPr>
          <w:rFonts w:ascii="Arial" w:hAnsi="Arial" w:cs="Arial"/>
        </w:rPr>
        <w:tab/>
        <w:t xml:space="preserve">The claimant is denied benefits with respect to the issues decided herein.  </w:t>
      </w:r>
    </w:p>
    <w:p w14:paraId="79D4E9EA" w14:textId="77777777" w:rsidR="00DC3813" w:rsidRDefault="002300AC" w:rsidP="00AB3929">
      <w:pPr>
        <w:widowControl w:val="0"/>
        <w:autoSpaceDE w:val="0"/>
        <w:autoSpaceDN w:val="0"/>
        <w:adjustRightInd w:val="0"/>
        <w:rPr>
          <w:rFonts w:ascii="Arial" w:hAnsi="Arial" w:cs="Arial"/>
        </w:rPr>
      </w:pPr>
      <w:r w:rsidRPr="00AF6B4D">
        <w:rPr>
          <w:rFonts w:ascii="Arial" w:hAnsi="Arial" w:cs="Arial"/>
        </w:rPr>
        <w:t xml:space="preserve"> </w:t>
      </w:r>
      <w:r w:rsidRPr="00AF6B4D">
        <w:rPr>
          <w:rFonts w:ascii="Arial" w:hAnsi="Arial" w:cs="Arial"/>
        </w:rPr>
        <w:tab/>
        <w:t xml:space="preserve">                                                </w:t>
      </w:r>
      <w:r w:rsidR="00CC1D92" w:rsidRPr="00AF6B4D">
        <w:rPr>
          <w:rFonts w:ascii="Arial" w:hAnsi="Arial" w:cs="Arial"/>
        </w:rPr>
        <w:t xml:space="preserve"> </w:t>
      </w:r>
    </w:p>
    <w:p w14:paraId="7CE27542" w14:textId="3CCF5AA3" w:rsidR="006A01FD" w:rsidRPr="00AF6B4D" w:rsidRDefault="006A01FD" w:rsidP="00FC4D0D">
      <w:pPr>
        <w:widowControl w:val="0"/>
        <w:autoSpaceDE w:val="0"/>
        <w:autoSpaceDN w:val="0"/>
        <w:adjustRightInd w:val="0"/>
        <w:ind w:left="3024" w:firstLine="720"/>
        <w:rPr>
          <w:rFonts w:ascii="Arial" w:hAnsi="Arial" w:cs="Arial"/>
        </w:rPr>
      </w:pPr>
      <w:r w:rsidRPr="00AF6B4D">
        <w:rPr>
          <w:rFonts w:ascii="Arial" w:hAnsi="Arial" w:cs="Arial"/>
        </w:rPr>
        <w:t>COMMENT</w:t>
      </w:r>
      <w:r w:rsidR="006A1571" w:rsidRPr="00AF6B4D">
        <w:rPr>
          <w:rFonts w:ascii="Arial" w:hAnsi="Arial" w:cs="Arial"/>
        </w:rPr>
        <w:t>S</w:t>
      </w:r>
    </w:p>
    <w:p w14:paraId="7CE27543" w14:textId="208514C9" w:rsidR="006A1571" w:rsidRDefault="006A1571" w:rsidP="00E10979">
      <w:pPr>
        <w:pStyle w:val="Default"/>
        <w:rPr>
          <w:u w:val="single"/>
        </w:rPr>
      </w:pPr>
    </w:p>
    <w:p w14:paraId="441F567E" w14:textId="02AC111B" w:rsidR="00F25D0B" w:rsidRDefault="00860051" w:rsidP="00E10979">
      <w:pPr>
        <w:pStyle w:val="Default"/>
      </w:pPr>
      <w:r>
        <w:t>To apply this rule</w:t>
      </w:r>
      <w:r w:rsidR="00723F3D">
        <w:t>,</w:t>
      </w:r>
      <w:r w:rsidR="00F95DAC">
        <w:t xml:space="preserve"> it must be demonstrated that the claimant was made aware that by completing the certification process each week</w:t>
      </w:r>
      <w:r w:rsidR="00723F3D">
        <w:t xml:space="preserve"> that they knew: 1. </w:t>
      </w:r>
      <w:r w:rsidR="00655809">
        <w:t xml:space="preserve">That they </w:t>
      </w:r>
      <w:r w:rsidR="002A1176">
        <w:t>were certifying</w:t>
      </w:r>
      <w:r w:rsidR="00655809">
        <w:t xml:space="preserve"> that they complied with work search requirements ; 2.</w:t>
      </w:r>
      <w:r w:rsidR="000F6AB5">
        <w:t xml:space="preserve"> </w:t>
      </w:r>
      <w:r w:rsidR="00723F3D">
        <w:t>T</w:t>
      </w:r>
      <w:r w:rsidR="002A1176">
        <w:t>hat t</w:t>
      </w:r>
      <w:r w:rsidR="00723F3D">
        <w:t>hey must maintain a work search record for one year</w:t>
      </w:r>
      <w:r w:rsidR="009E1199">
        <w:t xml:space="preserve">; </w:t>
      </w:r>
      <w:r w:rsidR="002A1176">
        <w:t xml:space="preserve">and </w:t>
      </w:r>
      <w:r w:rsidR="000F6AB5">
        <w:t>3</w:t>
      </w:r>
      <w:r w:rsidR="009E1199">
        <w:t xml:space="preserve">. </w:t>
      </w:r>
      <w:r w:rsidR="002A1176">
        <w:t xml:space="preserve">That they must supply </w:t>
      </w:r>
      <w:r w:rsidR="009E1199">
        <w:t xml:space="preserve">the work search record to the Department when directed to do so by </w:t>
      </w:r>
      <w:r w:rsidR="003D01F8">
        <w:t>the</w:t>
      </w:r>
      <w:r w:rsidR="009E1199">
        <w:t xml:space="preserve"> Department</w:t>
      </w:r>
      <w:r w:rsidR="003D01F8">
        <w:t>.</w:t>
      </w:r>
      <w:r w:rsidR="000F6AB5">
        <w:t xml:space="preserve"> </w:t>
      </w:r>
    </w:p>
    <w:sectPr w:rsidR="00F25D0B" w:rsidSect="00C9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2F1E"/>
    <w:multiLevelType w:val="hybridMultilevel"/>
    <w:tmpl w:val="F088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A561F"/>
    <w:multiLevelType w:val="hybridMultilevel"/>
    <w:tmpl w:val="5098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D42E7"/>
    <w:multiLevelType w:val="hybridMultilevel"/>
    <w:tmpl w:val="C3F290E8"/>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743871423">
    <w:abstractNumId w:val="2"/>
  </w:num>
  <w:num w:numId="2" w16cid:durableId="2055421132">
    <w:abstractNumId w:val="0"/>
  </w:num>
  <w:num w:numId="3" w16cid:durableId="17473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0A98"/>
    <w:rsid w:val="000061BA"/>
    <w:rsid w:val="00012F63"/>
    <w:rsid w:val="00013AE4"/>
    <w:rsid w:val="00022904"/>
    <w:rsid w:val="00022AEC"/>
    <w:rsid w:val="00036A04"/>
    <w:rsid w:val="000372BF"/>
    <w:rsid w:val="00045BE5"/>
    <w:rsid w:val="000614EA"/>
    <w:rsid w:val="0006618E"/>
    <w:rsid w:val="000C7550"/>
    <w:rsid w:val="000D5193"/>
    <w:rsid w:val="000D5B90"/>
    <w:rsid w:val="000D681E"/>
    <w:rsid w:val="000D6B1A"/>
    <w:rsid w:val="000F55AC"/>
    <w:rsid w:val="000F6AB5"/>
    <w:rsid w:val="0010384E"/>
    <w:rsid w:val="001206CE"/>
    <w:rsid w:val="00121BC5"/>
    <w:rsid w:val="001624CE"/>
    <w:rsid w:val="00194D42"/>
    <w:rsid w:val="00195E98"/>
    <w:rsid w:val="001A0F18"/>
    <w:rsid w:val="001A66CB"/>
    <w:rsid w:val="001E05A6"/>
    <w:rsid w:val="001F380F"/>
    <w:rsid w:val="0020063A"/>
    <w:rsid w:val="002010D0"/>
    <w:rsid w:val="00204A2A"/>
    <w:rsid w:val="00216F54"/>
    <w:rsid w:val="002300AC"/>
    <w:rsid w:val="00237F06"/>
    <w:rsid w:val="0026349F"/>
    <w:rsid w:val="0027555D"/>
    <w:rsid w:val="0027595A"/>
    <w:rsid w:val="00281654"/>
    <w:rsid w:val="002A1176"/>
    <w:rsid w:val="002B4F4F"/>
    <w:rsid w:val="002C1F88"/>
    <w:rsid w:val="002D13FC"/>
    <w:rsid w:val="002D2821"/>
    <w:rsid w:val="002E2A83"/>
    <w:rsid w:val="002E74D2"/>
    <w:rsid w:val="002F35EF"/>
    <w:rsid w:val="00303778"/>
    <w:rsid w:val="00311107"/>
    <w:rsid w:val="003154D6"/>
    <w:rsid w:val="00321C07"/>
    <w:rsid w:val="00324C8C"/>
    <w:rsid w:val="00326C28"/>
    <w:rsid w:val="00336E0C"/>
    <w:rsid w:val="00362190"/>
    <w:rsid w:val="003D01F8"/>
    <w:rsid w:val="003D38A4"/>
    <w:rsid w:val="003E7C57"/>
    <w:rsid w:val="00405A47"/>
    <w:rsid w:val="00424BC7"/>
    <w:rsid w:val="00441149"/>
    <w:rsid w:val="00441968"/>
    <w:rsid w:val="00441D4B"/>
    <w:rsid w:val="00452E3F"/>
    <w:rsid w:val="0045649C"/>
    <w:rsid w:val="004575C6"/>
    <w:rsid w:val="004651C8"/>
    <w:rsid w:val="00467215"/>
    <w:rsid w:val="00490C73"/>
    <w:rsid w:val="004948EF"/>
    <w:rsid w:val="00497714"/>
    <w:rsid w:val="004A3EA7"/>
    <w:rsid w:val="004A74A5"/>
    <w:rsid w:val="004D566F"/>
    <w:rsid w:val="004D6795"/>
    <w:rsid w:val="004F3009"/>
    <w:rsid w:val="00502F06"/>
    <w:rsid w:val="0052476A"/>
    <w:rsid w:val="00526AC2"/>
    <w:rsid w:val="005357B0"/>
    <w:rsid w:val="005405AF"/>
    <w:rsid w:val="005431E2"/>
    <w:rsid w:val="005565D2"/>
    <w:rsid w:val="00562163"/>
    <w:rsid w:val="005660C8"/>
    <w:rsid w:val="005811DE"/>
    <w:rsid w:val="00583750"/>
    <w:rsid w:val="005A51B8"/>
    <w:rsid w:val="005F3058"/>
    <w:rsid w:val="0060017B"/>
    <w:rsid w:val="006122EE"/>
    <w:rsid w:val="00612FF8"/>
    <w:rsid w:val="00613AC1"/>
    <w:rsid w:val="006145D3"/>
    <w:rsid w:val="00642C39"/>
    <w:rsid w:val="0064784F"/>
    <w:rsid w:val="00655809"/>
    <w:rsid w:val="00661EF0"/>
    <w:rsid w:val="006671C2"/>
    <w:rsid w:val="006A01FD"/>
    <w:rsid w:val="006A1571"/>
    <w:rsid w:val="006B3A1C"/>
    <w:rsid w:val="006C31E3"/>
    <w:rsid w:val="006C3E41"/>
    <w:rsid w:val="006D2F51"/>
    <w:rsid w:val="006D5ED7"/>
    <w:rsid w:val="00711037"/>
    <w:rsid w:val="00723522"/>
    <w:rsid w:val="00723F3D"/>
    <w:rsid w:val="00740531"/>
    <w:rsid w:val="00741C4B"/>
    <w:rsid w:val="00744BB5"/>
    <w:rsid w:val="00774DC5"/>
    <w:rsid w:val="00783DC4"/>
    <w:rsid w:val="00791A39"/>
    <w:rsid w:val="007A1EE2"/>
    <w:rsid w:val="007A54DC"/>
    <w:rsid w:val="007A6FE5"/>
    <w:rsid w:val="007C31B0"/>
    <w:rsid w:val="007C73F0"/>
    <w:rsid w:val="007D21D0"/>
    <w:rsid w:val="007E1E2D"/>
    <w:rsid w:val="007E2388"/>
    <w:rsid w:val="00807725"/>
    <w:rsid w:val="008102AC"/>
    <w:rsid w:val="00810BCE"/>
    <w:rsid w:val="00860051"/>
    <w:rsid w:val="00861EE9"/>
    <w:rsid w:val="008672D4"/>
    <w:rsid w:val="0087157B"/>
    <w:rsid w:val="0089748E"/>
    <w:rsid w:val="008A51DC"/>
    <w:rsid w:val="008A6209"/>
    <w:rsid w:val="008C7B49"/>
    <w:rsid w:val="008D6AB5"/>
    <w:rsid w:val="008D6D53"/>
    <w:rsid w:val="0092032C"/>
    <w:rsid w:val="00935CD0"/>
    <w:rsid w:val="00944E89"/>
    <w:rsid w:val="009549C0"/>
    <w:rsid w:val="00960871"/>
    <w:rsid w:val="009652D5"/>
    <w:rsid w:val="00990D02"/>
    <w:rsid w:val="009A4610"/>
    <w:rsid w:val="009A60CF"/>
    <w:rsid w:val="009C0A98"/>
    <w:rsid w:val="009E1199"/>
    <w:rsid w:val="009E3C7F"/>
    <w:rsid w:val="009F5B26"/>
    <w:rsid w:val="00A02300"/>
    <w:rsid w:val="00A12AEE"/>
    <w:rsid w:val="00A22B73"/>
    <w:rsid w:val="00A630B7"/>
    <w:rsid w:val="00A66FE3"/>
    <w:rsid w:val="00A72C42"/>
    <w:rsid w:val="00A94DF1"/>
    <w:rsid w:val="00AA1FB9"/>
    <w:rsid w:val="00AA5B8B"/>
    <w:rsid w:val="00AB3929"/>
    <w:rsid w:val="00AC613E"/>
    <w:rsid w:val="00AE1716"/>
    <w:rsid w:val="00AE5840"/>
    <w:rsid w:val="00AF2C8D"/>
    <w:rsid w:val="00AF6B4D"/>
    <w:rsid w:val="00B0014C"/>
    <w:rsid w:val="00B0304C"/>
    <w:rsid w:val="00B10197"/>
    <w:rsid w:val="00B158C8"/>
    <w:rsid w:val="00B3218B"/>
    <w:rsid w:val="00B549EA"/>
    <w:rsid w:val="00B639BC"/>
    <w:rsid w:val="00B82CDF"/>
    <w:rsid w:val="00B924C4"/>
    <w:rsid w:val="00B941D1"/>
    <w:rsid w:val="00BA5DE3"/>
    <w:rsid w:val="00BA6440"/>
    <w:rsid w:val="00BA705F"/>
    <w:rsid w:val="00BC3064"/>
    <w:rsid w:val="00BD10DC"/>
    <w:rsid w:val="00BF04D1"/>
    <w:rsid w:val="00C05475"/>
    <w:rsid w:val="00C25013"/>
    <w:rsid w:val="00C36655"/>
    <w:rsid w:val="00C437E4"/>
    <w:rsid w:val="00C5020D"/>
    <w:rsid w:val="00C5349D"/>
    <w:rsid w:val="00C53E9C"/>
    <w:rsid w:val="00C60683"/>
    <w:rsid w:val="00C702D3"/>
    <w:rsid w:val="00C72E6E"/>
    <w:rsid w:val="00C960FD"/>
    <w:rsid w:val="00CC1D92"/>
    <w:rsid w:val="00CC3A70"/>
    <w:rsid w:val="00CD561D"/>
    <w:rsid w:val="00D01412"/>
    <w:rsid w:val="00D0259A"/>
    <w:rsid w:val="00D16A98"/>
    <w:rsid w:val="00D467C9"/>
    <w:rsid w:val="00D55669"/>
    <w:rsid w:val="00D5788B"/>
    <w:rsid w:val="00D70E5C"/>
    <w:rsid w:val="00D73539"/>
    <w:rsid w:val="00D93894"/>
    <w:rsid w:val="00D95E6A"/>
    <w:rsid w:val="00DB7153"/>
    <w:rsid w:val="00DC3813"/>
    <w:rsid w:val="00E00366"/>
    <w:rsid w:val="00E045B9"/>
    <w:rsid w:val="00E10979"/>
    <w:rsid w:val="00E114B1"/>
    <w:rsid w:val="00E43BE0"/>
    <w:rsid w:val="00E52283"/>
    <w:rsid w:val="00E5614A"/>
    <w:rsid w:val="00E5707D"/>
    <w:rsid w:val="00E635F1"/>
    <w:rsid w:val="00E637ED"/>
    <w:rsid w:val="00E85C97"/>
    <w:rsid w:val="00E96904"/>
    <w:rsid w:val="00E96D26"/>
    <w:rsid w:val="00ED6F37"/>
    <w:rsid w:val="00EE44E0"/>
    <w:rsid w:val="00EF2968"/>
    <w:rsid w:val="00EF36AC"/>
    <w:rsid w:val="00F25D0B"/>
    <w:rsid w:val="00F44E0A"/>
    <w:rsid w:val="00F57E32"/>
    <w:rsid w:val="00F95DAC"/>
    <w:rsid w:val="00F973F4"/>
    <w:rsid w:val="00FB10C0"/>
    <w:rsid w:val="00FC30FA"/>
    <w:rsid w:val="00FC4B40"/>
    <w:rsid w:val="00FC4D0D"/>
    <w:rsid w:val="00FC53CE"/>
    <w:rsid w:val="00FC5D59"/>
    <w:rsid w:val="00FD7953"/>
    <w:rsid w:val="00FF06D6"/>
    <w:rsid w:val="00FF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7516"/>
  <w15:docId w15:val="{2807D957-BB20-4A6B-A5D7-BFE13122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80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7595A"/>
    <w:pPr>
      <w:spacing w:before="100" w:beforeAutospacing="1" w:after="100" w:afterAutospacing="1"/>
    </w:pPr>
  </w:style>
  <w:style w:type="paragraph" w:customStyle="1" w:styleId="xxmsonormal">
    <w:name w:val="x_xmsonormal"/>
    <w:basedOn w:val="Normal"/>
    <w:rsid w:val="0044196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9E3C7F"/>
    <w:rPr>
      <w:sz w:val="16"/>
      <w:szCs w:val="16"/>
    </w:rPr>
  </w:style>
  <w:style w:type="paragraph" w:styleId="CommentText">
    <w:name w:val="annotation text"/>
    <w:basedOn w:val="Normal"/>
    <w:link w:val="CommentTextChar"/>
    <w:uiPriority w:val="99"/>
    <w:unhideWhenUsed/>
    <w:rsid w:val="009E3C7F"/>
    <w:rPr>
      <w:sz w:val="20"/>
      <w:szCs w:val="20"/>
    </w:rPr>
  </w:style>
  <w:style w:type="character" w:customStyle="1" w:styleId="CommentTextChar">
    <w:name w:val="Comment Text Char"/>
    <w:basedOn w:val="DefaultParagraphFont"/>
    <w:link w:val="CommentText"/>
    <w:uiPriority w:val="99"/>
    <w:rsid w:val="009E3C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C7F"/>
    <w:rPr>
      <w:b/>
      <w:bCs/>
    </w:rPr>
  </w:style>
  <w:style w:type="character" w:customStyle="1" w:styleId="CommentSubjectChar">
    <w:name w:val="Comment Subject Char"/>
    <w:basedOn w:val="CommentTextChar"/>
    <w:link w:val="CommentSubject"/>
    <w:uiPriority w:val="99"/>
    <w:semiHidden/>
    <w:rsid w:val="009E3C7F"/>
    <w:rPr>
      <w:rFonts w:ascii="Times New Roman" w:eastAsia="Times New Roman" w:hAnsi="Times New Roman" w:cs="Times New Roman"/>
      <w:b/>
      <w:bCs/>
      <w:sz w:val="20"/>
      <w:szCs w:val="20"/>
    </w:rPr>
  </w:style>
  <w:style w:type="paragraph" w:styleId="ListParagraph">
    <w:name w:val="List Paragraph"/>
    <w:basedOn w:val="Normal"/>
    <w:uiPriority w:val="34"/>
    <w:qFormat/>
    <w:rsid w:val="002F35EF"/>
    <w:pPr>
      <w:ind w:left="720"/>
      <w:contextualSpacing/>
    </w:pPr>
  </w:style>
  <w:style w:type="paragraph" w:styleId="Revision">
    <w:name w:val="Revision"/>
    <w:hidden/>
    <w:uiPriority w:val="99"/>
    <w:semiHidden/>
    <w:rsid w:val="006B3A1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524">
      <w:bodyDiv w:val="1"/>
      <w:marLeft w:val="0"/>
      <w:marRight w:val="0"/>
      <w:marTop w:val="0"/>
      <w:marBottom w:val="0"/>
      <w:divBdr>
        <w:top w:val="none" w:sz="0" w:space="0" w:color="auto"/>
        <w:left w:val="none" w:sz="0" w:space="0" w:color="auto"/>
        <w:bottom w:val="none" w:sz="0" w:space="0" w:color="auto"/>
        <w:right w:val="none" w:sz="0" w:space="0" w:color="auto"/>
      </w:divBdr>
    </w:div>
    <w:div w:id="980496894">
      <w:bodyDiv w:val="1"/>
      <w:marLeft w:val="0"/>
      <w:marRight w:val="0"/>
      <w:marTop w:val="0"/>
      <w:marBottom w:val="0"/>
      <w:divBdr>
        <w:top w:val="none" w:sz="0" w:space="0" w:color="auto"/>
        <w:left w:val="none" w:sz="0" w:space="0" w:color="auto"/>
        <w:bottom w:val="none" w:sz="0" w:space="0" w:color="auto"/>
        <w:right w:val="none" w:sz="0" w:space="0" w:color="auto"/>
      </w:divBdr>
      <w:divsChild>
        <w:div w:id="1317104639">
          <w:marLeft w:val="0"/>
          <w:marRight w:val="0"/>
          <w:marTop w:val="0"/>
          <w:marBottom w:val="0"/>
          <w:divBdr>
            <w:top w:val="none" w:sz="0" w:space="0" w:color="auto"/>
            <w:left w:val="none" w:sz="0" w:space="0" w:color="auto"/>
            <w:bottom w:val="none" w:sz="0" w:space="0" w:color="auto"/>
            <w:right w:val="none" w:sz="0" w:space="0" w:color="auto"/>
          </w:divBdr>
          <w:divsChild>
            <w:div w:id="1470392246">
              <w:marLeft w:val="0"/>
              <w:marRight w:val="0"/>
              <w:marTop w:val="0"/>
              <w:marBottom w:val="0"/>
              <w:divBdr>
                <w:top w:val="none" w:sz="0" w:space="0" w:color="auto"/>
                <w:left w:val="none" w:sz="0" w:space="0" w:color="auto"/>
                <w:bottom w:val="none" w:sz="0" w:space="0" w:color="auto"/>
                <w:right w:val="none" w:sz="0" w:space="0" w:color="auto"/>
              </w:divBdr>
              <w:divsChild>
                <w:div w:id="2113669610">
                  <w:marLeft w:val="0"/>
                  <w:marRight w:val="0"/>
                  <w:marTop w:val="0"/>
                  <w:marBottom w:val="0"/>
                  <w:divBdr>
                    <w:top w:val="single" w:sz="6" w:space="10" w:color="CACACA"/>
                    <w:left w:val="single" w:sz="6" w:space="31" w:color="CACACA"/>
                    <w:bottom w:val="single" w:sz="6" w:space="10" w:color="CACACA"/>
                    <w:right w:val="single" w:sz="6" w:space="31" w:color="CACACA"/>
                  </w:divBdr>
                  <w:divsChild>
                    <w:div w:id="1478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6216">
      <w:bodyDiv w:val="1"/>
      <w:marLeft w:val="0"/>
      <w:marRight w:val="0"/>
      <w:marTop w:val="0"/>
      <w:marBottom w:val="0"/>
      <w:divBdr>
        <w:top w:val="none" w:sz="0" w:space="0" w:color="auto"/>
        <w:left w:val="none" w:sz="0" w:space="0" w:color="auto"/>
        <w:bottom w:val="none" w:sz="0" w:space="0" w:color="auto"/>
        <w:right w:val="none" w:sz="0" w:space="0" w:color="auto"/>
      </w:divBdr>
    </w:div>
    <w:div w:id="197587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6678-CBD5-44CD-995E-47B99C44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Curtis</dc:creator>
  <cp:keywords/>
  <dc:description/>
  <cp:lastModifiedBy>Inguanzo, Anthony P (LABOR)</cp:lastModifiedBy>
  <cp:revision>4</cp:revision>
  <cp:lastPrinted>2024-07-16T14:18:00Z</cp:lastPrinted>
  <dcterms:created xsi:type="dcterms:W3CDTF">2024-09-24T14:49:00Z</dcterms:created>
  <dcterms:modified xsi:type="dcterms:W3CDTF">2024-09-24T14:51:00Z</dcterms:modified>
</cp:coreProperties>
</file>